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6"/>
        <w:jc w:val="center"/>
        <w:spacing w:before="120"/>
        <w:tabs>
          <w:tab w:val="left" w:pos="709" w:leader="none"/>
        </w:tabs>
        <w:rPr>
          <w:b/>
          <w:bCs/>
          <w:sz w:val="40"/>
          <w:szCs w:val="40"/>
        </w:rPr>
      </w:pPr>
      <w:r>
        <w:rPr>
          <w:b/>
          <w:sz w:val="40"/>
          <w:szCs w:val="32"/>
        </w:rPr>
        <w:t xml:space="preserve">Политика конфиденциальности и обработки персональных данных для </w:t>
      </w:r>
      <w:r>
        <w:rPr>
          <w:b/>
          <w:bCs/>
          <w:sz w:val="40"/>
          <w:szCs w:val="40"/>
        </w:rPr>
      </w:r>
      <w:r>
        <w:rPr>
          <w:b/>
          <w:sz w:val="40"/>
          <w:szCs w:val="32"/>
        </w:rPr>
        <w:t xml:space="preserve">Информационных носителей </w:t>
      </w:r>
      <w:r>
        <w:rPr>
          <w:b/>
          <w:sz w:val="40"/>
          <w:szCs w:val="32"/>
        </w:rPr>
      </w:r>
      <w:r>
        <w:rPr>
          <w:b/>
          <w:sz w:val="40"/>
          <w:szCs w:val="32"/>
        </w:rPr>
        <w:t xml:space="preserve">ООО «</w:t>
      </w:r>
      <w:r>
        <w:rPr>
          <w:b/>
          <w:sz w:val="40"/>
          <w:szCs w:val="32"/>
          <w:lang w:val="ru-RU"/>
        </w:rPr>
        <w:t xml:space="preserve">Эпилог</w:t>
      </w:r>
      <w:r>
        <w:rPr>
          <w:b/>
          <w:sz w:val="40"/>
          <w:szCs w:val="32"/>
        </w:rPr>
        <w:t xml:space="preserve">»</w:t>
      </w:r>
      <w:r>
        <w:rPr>
          <w:b/>
          <w:bCs/>
          <w:sz w:val="40"/>
          <w:szCs w:val="40"/>
        </w:rPr>
      </w:r>
      <w:r>
        <w:rPr>
          <w:b/>
          <w:bCs/>
          <w:sz w:val="40"/>
          <w:szCs w:val="40"/>
        </w:rPr>
      </w:r>
      <w:r>
        <w:rPr>
          <w:b/>
          <w:bCs/>
          <w:sz w:val="40"/>
          <w:szCs w:val="40"/>
        </w:rPr>
      </w:r>
    </w:p>
    <w:p>
      <w:pPr>
        <w:pStyle w:val="686"/>
        <w:jc w:val="both"/>
        <w:spacing w:before="120"/>
        <w:tabs>
          <w:tab w:val="left" w:pos="709" w:leader="none"/>
        </w:tabs>
        <w:rPr>
          <w:b/>
          <w:sz w:val="40"/>
          <w:szCs w:val="32"/>
        </w:rPr>
      </w:pPr>
      <w:r>
        <w:rPr>
          <w:b/>
          <w:sz w:val="40"/>
          <w:szCs w:val="32"/>
        </w:rPr>
      </w:r>
      <w:r>
        <w:rPr>
          <w:b/>
          <w:sz w:val="40"/>
          <w:szCs w:val="32"/>
        </w:rPr>
      </w:r>
      <w:r>
        <w:rPr>
          <w:b/>
          <w:sz w:val="40"/>
          <w:szCs w:val="32"/>
        </w:rPr>
      </w:r>
    </w:p>
    <w:p>
      <w:pPr>
        <w:pStyle w:val="686"/>
        <w:jc w:val="right"/>
        <w:spacing w:before="120"/>
        <w:tabs>
          <w:tab w:val="left" w:pos="709" w:leader="none"/>
        </w:tabs>
        <w:rPr>
          <w:rFonts w:hint="default"/>
          <w:b w:val="0"/>
          <w:bCs/>
          <w:szCs w:val="32"/>
          <w:lang w:val="ru-RU"/>
        </w:rPr>
      </w:pPr>
      <w:r>
        <w:rPr>
          <w:b w:val="0"/>
          <w:bCs/>
          <w:szCs w:val="32"/>
        </w:rPr>
        <w:t xml:space="preserve">утв. Приказом </w:t>
      </w:r>
      <w:r>
        <w:rPr>
          <w:rFonts w:hint="default"/>
          <w:b w:val="0"/>
          <w:bCs/>
          <w:szCs w:val="32"/>
          <w:lang w:val="ru-RU"/>
        </w:rPr>
        <w:t xml:space="preserve"> Директора ООО «Эпилог»</w:t>
      </w:r>
      <w:r>
        <w:rPr>
          <w:rFonts w:hint="default"/>
          <w:b w:val="0"/>
          <w:bCs/>
          <w:szCs w:val="32"/>
          <w:lang w:val="ru-RU"/>
        </w:rPr>
      </w:r>
      <w:r>
        <w:rPr>
          <w:rFonts w:hint="default"/>
          <w:b w:val="0"/>
          <w:bCs/>
          <w:szCs w:val="32"/>
          <w:lang w:val="ru-RU"/>
        </w:rPr>
      </w:r>
    </w:p>
    <w:p>
      <w:pPr>
        <w:pStyle w:val="686"/>
        <w:jc w:val="right"/>
        <w:spacing w:before="120"/>
        <w:tabs>
          <w:tab w:val="left" w:pos="709" w:leader="none"/>
        </w:tabs>
        <w:rPr>
          <w:b w:val="0"/>
          <w:bCs/>
          <w:sz w:val="16"/>
        </w:rPr>
      </w:pPr>
      <w:r>
        <w:rPr>
          <w:rFonts w:hint="default"/>
          <w:b w:val="0"/>
          <w:bCs/>
          <w:szCs w:val="32"/>
          <w:lang w:val="ru-RU"/>
        </w:rPr>
        <w:t xml:space="preserve"> </w:t>
      </w:r>
      <w:r>
        <w:rPr>
          <w:b w:val="0"/>
          <w:bCs/>
          <w:szCs w:val="32"/>
          <w:highlight w:val="yellow"/>
        </w:rPr>
        <w:t xml:space="preserve">№ </w:t>
      </w:r>
      <w:r>
        <w:rPr>
          <w:rFonts w:hint="default"/>
          <w:b w:val="0"/>
          <w:bCs/>
          <w:szCs w:val="32"/>
          <w:highlight w:val="yellow"/>
          <w:lang w:val="ru-RU"/>
        </w:rPr>
        <w:t xml:space="preserve">______</w:t>
      </w:r>
      <w:r>
        <w:rPr>
          <w:b w:val="0"/>
          <w:bCs/>
          <w:szCs w:val="32"/>
          <w:highlight w:val="yellow"/>
        </w:rPr>
        <w:t xml:space="preserve">от </w:t>
      </w:r>
      <w:r>
        <w:rPr>
          <w:rFonts w:hint="default"/>
          <w:b w:val="0"/>
          <w:bCs/>
          <w:szCs w:val="32"/>
          <w:highlight w:val="yellow"/>
          <w:lang w:val="ru-RU"/>
        </w:rPr>
        <w:t xml:space="preserve">__</w:t>
      </w:r>
      <w:r>
        <w:rPr>
          <w:b w:val="0"/>
          <w:bCs/>
          <w:szCs w:val="32"/>
          <w:highlight w:val="yellow"/>
        </w:rPr>
        <w:t xml:space="preserve">.__.20</w:t>
      </w:r>
      <w:r>
        <w:rPr>
          <w:rFonts w:hint="default"/>
          <w:b w:val="0"/>
          <w:bCs/>
          <w:szCs w:val="32"/>
          <w:highlight w:val="yellow"/>
          <w:lang w:val="ru-RU"/>
        </w:rPr>
        <w:t xml:space="preserve">24</w:t>
      </w:r>
      <w:r>
        <w:rPr>
          <w:b w:val="0"/>
          <w:bCs/>
          <w:szCs w:val="32"/>
          <w:highlight w:val="yellow"/>
        </w:rPr>
        <w:t xml:space="preserve"> г.</w:t>
      </w:r>
      <w:r>
        <w:rPr>
          <w:b w:val="0"/>
          <w:bCs/>
          <w:sz w:val="16"/>
        </w:rPr>
      </w:r>
      <w:r>
        <w:rPr>
          <w:b w:val="0"/>
          <w:bCs/>
          <w:sz w:val="16"/>
        </w:rPr>
      </w:r>
    </w:p>
    <w:p>
      <w:pPr>
        <w:pStyle w:val="686"/>
        <w:jc w:val="both"/>
        <w:spacing w:after="120"/>
        <w:tabs>
          <w:tab w:val="left" w:pos="709" w:leader="none"/>
        </w:tabs>
      </w:pPr>
      <w:r/>
      <w:bookmarkStart w:id="0" w:name="undefined"/>
      <w:r/>
      <w:bookmarkEnd w:id="0"/>
      <w:r/>
      <w:r/>
    </w:p>
    <w:p>
      <w:pPr>
        <w:pStyle w:val="686"/>
        <w:numPr>
          <w:ilvl w:val="0"/>
          <w:numId w:val="1"/>
        </w:numPr>
        <w:ind w:left="0" w:firstLine="709"/>
        <w:jc w:val="left"/>
        <w:spacing w:after="120"/>
        <w:tabs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  <w:rPr>
          <w:b/>
        </w:rPr>
      </w:pPr>
      <w:r>
        <w:rPr>
          <w:b/>
        </w:rPr>
        <w:t xml:space="preserve">Общие положения</w:t>
      </w:r>
      <w:r>
        <w:rPr>
          <w:b/>
        </w:rPr>
      </w:r>
      <w:r>
        <w:rPr>
          <w:b/>
        </w:rPr>
      </w:r>
    </w:p>
    <w:p>
      <w:pPr>
        <w:pStyle w:val="686"/>
        <w:numPr>
          <w:ilvl w:val="1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</w:pPr>
      <w:r>
        <w:t xml:space="preserve">Настоящая Политика конфиденциальности (далее – «Политика») разработана в соответствии с Федера</w:t>
      </w:r>
      <w:r>
        <w:t xml:space="preserve">льным законом от 27.07.2006 г. № 152-ФЗ "О персональных данных" (далее – «Закон»), применима к сайтам в информационно-телекоммуникационной сети «Интернет» и мобильным приложениям, правообладателем которых является Общество с ограниченной ответственностью «</w:t>
      </w:r>
      <w:r>
        <w:rPr>
          <w:lang w:val="ru-RU"/>
        </w:rPr>
        <w:t xml:space="preserve">Эпилог</w:t>
      </w:r>
      <w:r>
        <w:t xml:space="preserve">» (ООО «</w:t>
      </w:r>
      <w:r>
        <w:rPr>
          <w:lang w:val="ru-RU"/>
        </w:rPr>
        <w:t xml:space="preserve">Эпилог</w:t>
      </w:r>
      <w:r>
        <w:t xml:space="preserve">», далее – «Организация»), и </w:t>
      </w:r>
      <w:r>
        <w:rPr>
          <w:lang w:val="ru-RU"/>
        </w:rPr>
        <w:t xml:space="preserve">его</w:t>
      </w:r>
      <w:r>
        <w:rPr>
          <w:rFonts w:hint="default"/>
          <w:lang w:val="ru-RU"/>
        </w:rPr>
        <w:t xml:space="preserve"> </w:t>
      </w:r>
      <w:r>
        <w:t xml:space="preserve">определяет политику в отношении обработки персональных данных посетителей указанных Интернет-сайтов и пользователей мобильных приложений, включая клиентов и контрагентов Организации.</w:t>
      </w:r>
      <w:r/>
    </w:p>
    <w:p>
      <w:pPr>
        <w:pStyle w:val="686"/>
        <w:numPr>
          <w:ilvl w:val="1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</w:pPr>
      <w:r>
        <w:t xml:space="preserve">Под персональными данными (далее – «ПД») понимается любая информация, относящаяся к прямо или косв</w:t>
      </w:r>
      <w:r>
        <w:t xml:space="preserve">енно определенному или определяемому физическому лицу (субъекту ПД). Оператор ПД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ПД, </w:t>
      </w:r>
      <w:r>
        <w:t xml:space="preserve">а также определяющие цели обработки ПД, состав ПД, подлежащих обработке, действия (операции), совершаемые с ПД. Обработка ПД - любое действие (операция) или совокупность действий (операций), совершаемых с использованием средств автоматизации или без исполь</w:t>
      </w:r>
      <w:r>
        <w:t xml:space="preserve">зования таких средств с ПД,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ПД.</w:t>
      </w:r>
      <w:r/>
    </w:p>
    <w:p>
      <w:pPr>
        <w:pStyle w:val="686"/>
        <w:numPr>
          <w:ilvl w:val="1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</w:pPr>
      <w:r>
        <w:t xml:space="preserve">Посетитель Интернет-сайта может посещать большинство страниц Интернет-сайта и воспринимать размещенную на них информацию без предоставления Организации каких-либо ПД, регистрации на Интернет-сайте или совершения каких-либо формальностей.</w:t>
      </w:r>
      <w:r/>
    </w:p>
    <w:p>
      <w:pPr>
        <w:pStyle w:val="686"/>
        <w:numPr>
          <w:ilvl w:val="1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  <w:rPr>
          <w:rFonts w:hint="default"/>
          <w:highlight w:val="none"/>
        </w:rPr>
      </w:pPr>
      <w:r>
        <w:rPr>
          <w:rFonts w:hint="default"/>
          <w:highlight w:val="none"/>
          <w:lang w:val="ru-RU"/>
        </w:rPr>
        <w:t xml:space="preserve">При т</w:t>
      </w:r>
      <w:r>
        <w:rPr>
          <w:rFonts w:hint="default"/>
          <w:highlight w:val="none"/>
        </w:rPr>
        <w:t xml:space="preserve">рансграничн</w:t>
      </w:r>
      <w:r>
        <w:rPr>
          <w:rFonts w:hint="default"/>
          <w:highlight w:val="none"/>
          <w:lang w:val="ru-RU"/>
        </w:rPr>
        <w:t xml:space="preserve">ой </w:t>
      </w:r>
      <w:r>
        <w:rPr>
          <w:rFonts w:hint="default"/>
          <w:highlight w:val="none"/>
        </w:rPr>
        <w:t xml:space="preserve">передач</w:t>
      </w:r>
      <w:r>
        <w:rPr>
          <w:rFonts w:hint="default"/>
          <w:highlight w:val="none"/>
          <w:lang w:val="ru-RU"/>
        </w:rPr>
        <w:t xml:space="preserve">е </w:t>
      </w:r>
      <w:r>
        <w:rPr>
          <w:rFonts w:hint="default"/>
          <w:highlight w:val="none"/>
        </w:rPr>
        <w:t xml:space="preserve">персональных данных,</w:t>
      </w:r>
      <w:r>
        <w:rPr>
          <w:rFonts w:hint="default"/>
          <w:highlight w:val="none"/>
          <w:lang w:val="ru-RU"/>
        </w:rPr>
        <w:t xml:space="preserve"> Организация</w:t>
      </w:r>
      <w:r>
        <w:rPr>
          <w:rFonts w:hint="default"/>
          <w:highlight w:val="none"/>
        </w:rPr>
        <w:t xml:space="preserve"> обязан</w:t>
      </w:r>
      <w:r>
        <w:rPr>
          <w:rFonts w:hint="default"/>
          <w:highlight w:val="none"/>
          <w:lang w:val="ru-RU"/>
        </w:rPr>
        <w:t xml:space="preserve">а</w:t>
      </w:r>
      <w:r>
        <w:rPr>
          <w:rFonts w:hint="default"/>
          <w:highlight w:val="none"/>
        </w:rPr>
        <w:t xml:space="preserve"> убедиться в том, что иностранным государством, на территорию которого предполагается осуществлять передачу персональных данных, обеспечивается адекватная защита прав субъектов персональных данных, до начала осуществления такой передачи.</w:t>
      </w:r>
      <w:r>
        <w:rPr>
          <w:rFonts w:hint="default"/>
          <w:highlight w:val="none"/>
        </w:rPr>
      </w:r>
      <w:r>
        <w:rPr>
          <w:rFonts w:hint="default"/>
          <w:highlight w:val="none"/>
        </w:rPr>
      </w:r>
    </w:p>
    <w:p>
      <w:pPr>
        <w:pStyle w:val="686"/>
        <w:numPr>
          <w:ilvl w:val="0"/>
          <w:numId w:val="0"/>
        </w:numPr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  <w:rPr>
          <w:rFonts w:hint="default"/>
          <w:highlight w:val="none"/>
        </w:rPr>
      </w:pPr>
      <w:r>
        <w:rPr>
          <w:rFonts w:hint="default"/>
          <w:highlight w:val="none"/>
        </w:rPr>
        <w:tab/>
        <w:tab/>
        <w:t xml:space="preserve">Трансграничная передача персональных данных на территории иностранных государств, не обеспечивающих адекватной защиты прав субъектов персональных данных, может осуществляться в случаях:</w:t>
      </w:r>
      <w:r>
        <w:rPr>
          <w:rFonts w:hint="default"/>
          <w:highlight w:val="none"/>
        </w:rPr>
      </w:r>
      <w:r>
        <w:rPr>
          <w:rFonts w:hint="default"/>
          <w:highlight w:val="none"/>
        </w:rPr>
      </w:r>
    </w:p>
    <w:p>
      <w:pPr>
        <w:pStyle w:val="686"/>
        <w:numPr>
          <w:ilvl w:val="0"/>
          <w:numId w:val="2"/>
        </w:numPr>
        <w:ind w:left="420" w:hanging="420"/>
        <w:jc w:val="both"/>
        <w:spacing w:after="120"/>
        <w:tabs>
          <w:tab w:val="clear" w:pos="420" w:leader="none"/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  <w:rPr>
          <w:rFonts w:hint="default"/>
          <w:highlight w:val="none"/>
        </w:rPr>
      </w:pPr>
      <w:r>
        <w:rPr>
          <w:rFonts w:hint="default"/>
          <w:highlight w:val="none"/>
        </w:rPr>
        <w:t xml:space="preserve">наличия согласия в письменной форме субъекта персональных данных на трансграничную передачу его персональных данных;</w:t>
      </w:r>
      <w:r>
        <w:rPr>
          <w:rFonts w:hint="default"/>
          <w:highlight w:val="none"/>
        </w:rPr>
      </w:r>
      <w:r>
        <w:rPr>
          <w:rFonts w:hint="default"/>
          <w:highlight w:val="none"/>
        </w:rPr>
      </w:r>
    </w:p>
    <w:p>
      <w:pPr>
        <w:pStyle w:val="686"/>
        <w:numPr>
          <w:ilvl w:val="0"/>
          <w:numId w:val="2"/>
        </w:numPr>
        <w:ind w:left="420" w:hanging="420"/>
        <w:jc w:val="both"/>
        <w:spacing w:after="120"/>
        <w:tabs>
          <w:tab w:val="clear" w:pos="420" w:leader="none"/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  <w:rPr>
          <w:highlight w:val="none"/>
        </w:rPr>
      </w:pPr>
      <w:r>
        <w:rPr>
          <w:rFonts w:hint="default"/>
          <w:highlight w:val="none"/>
        </w:rPr>
        <w:t xml:space="preserve">исполнения договора, стороной которого является субъект персональных данных.</w:t>
      </w:r>
      <w:r>
        <w:rPr>
          <w:highlight w:val="none"/>
        </w:rPr>
      </w:r>
      <w:r>
        <w:rPr>
          <w:highlight w:val="none"/>
        </w:rPr>
      </w:r>
    </w:p>
    <w:p>
      <w:pPr>
        <w:pStyle w:val="686"/>
        <w:numPr>
          <w:ilvl w:val="0"/>
          <w:numId w:val="0"/>
        </w:numPr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</w:pPr>
      <w:r>
        <w:tab/>
        <w:tab/>
        <w:t xml:space="preserve">Интернет-сайт Организации не предназначен для использования гражданами Европейского союза или Швейцарии. Обработка ПД граждан Европейского союза и Швейцарии в Организации не осуществляется.</w:t>
      </w:r>
      <w:r/>
    </w:p>
    <w:p>
      <w:pPr>
        <w:pStyle w:val="686"/>
        <w:numPr>
          <w:ilvl w:val="1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</w:pPr>
      <w:r>
        <w:t xml:space="preserve">Субъект ПД имеет право:</w:t>
      </w:r>
      <w:r/>
    </w:p>
    <w:p>
      <w:pPr>
        <w:pStyle w:val="686"/>
        <w:numPr>
          <w:ilvl w:val="2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276" w:leader="none"/>
          <w:tab w:val="clear" w:pos="7143" w:leader="none"/>
          <w:tab w:val="clear" w:pos="14287" w:leader="none"/>
        </w:tabs>
      </w:pPr>
      <w:r>
        <w:t xml:space="preserve">свободно, своей волей и в своем интересе давать согласие на обработку ПД;</w:t>
      </w:r>
      <w:r/>
    </w:p>
    <w:p>
      <w:pPr>
        <w:pStyle w:val="686"/>
        <w:numPr>
          <w:ilvl w:val="2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left" w:pos="1276" w:leader="none"/>
          <w:tab w:val="clear" w:pos="7143" w:leader="none"/>
          <w:tab w:val="clear" w:pos="14287" w:leader="none"/>
        </w:tabs>
      </w:pPr>
      <w:r>
        <w:t xml:space="preserve">в любое время отозвать согласие на обработку своих ПД;</w:t>
      </w:r>
      <w:r/>
    </w:p>
    <w:p>
      <w:pPr>
        <w:pStyle w:val="686"/>
        <w:numPr>
          <w:ilvl w:val="2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left" w:pos="1276" w:leader="none"/>
          <w:tab w:val="clear" w:pos="7143" w:leader="none"/>
          <w:tab w:val="clear" w:pos="14287" w:leader="none"/>
        </w:tabs>
      </w:pPr>
      <w:r>
        <w:t xml:space="preserve">получать полную информацию о своих ПД и их обработке, а также свободный доступ к своим ПД;</w:t>
      </w:r>
      <w:r/>
    </w:p>
    <w:p>
      <w:pPr>
        <w:pStyle w:val="686"/>
        <w:numPr>
          <w:ilvl w:val="2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left" w:pos="1276" w:leader="none"/>
          <w:tab w:val="clear" w:pos="7143" w:leader="none"/>
          <w:tab w:val="clear" w:pos="14287" w:leader="none"/>
        </w:tabs>
      </w:pPr>
      <w:r>
        <w:t xml:space="preserve">требовать от Организации уточне</w:t>
      </w:r>
      <w:r>
        <w:t xml:space="preserve">ния его ПД, их блокирования или уничтожения в случае, если ПД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  <w:r/>
    </w:p>
    <w:p>
      <w:pPr>
        <w:pStyle w:val="686"/>
        <w:numPr>
          <w:ilvl w:val="2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left" w:pos="1276" w:leader="none"/>
          <w:tab w:val="clear" w:pos="7143" w:leader="none"/>
          <w:tab w:val="clear" w:pos="14287" w:leader="none"/>
        </w:tabs>
      </w:pPr>
      <w:r>
        <w:t xml:space="preserve">реализовывать иные права, предоставленные законом.</w:t>
      </w:r>
      <w:r/>
    </w:p>
    <w:p>
      <w:pPr>
        <w:pStyle w:val="686"/>
        <w:numPr>
          <w:ilvl w:val="1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left" w:pos="1276" w:leader="none"/>
          <w:tab w:val="clear" w:pos="7143" w:leader="none"/>
          <w:tab w:val="clear" w:pos="14287" w:leader="none"/>
        </w:tabs>
      </w:pPr>
      <w:r>
        <w:t xml:space="preserve">Организация обязана:</w:t>
      </w:r>
      <w:r/>
    </w:p>
    <w:p>
      <w:pPr>
        <w:pStyle w:val="686"/>
        <w:numPr>
          <w:ilvl w:val="2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left" w:pos="1276" w:leader="none"/>
          <w:tab w:val="clear" w:pos="7143" w:leader="none"/>
          <w:tab w:val="clear" w:pos="14287" w:leader="none"/>
        </w:tabs>
      </w:pPr>
      <w:r>
        <w:t xml:space="preserve">обеспечить строгое соблюдение законодательства в области обработки ПД;</w:t>
      </w:r>
      <w:r/>
    </w:p>
    <w:p>
      <w:pPr>
        <w:pStyle w:val="686"/>
        <w:numPr>
          <w:ilvl w:val="2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left" w:pos="1276" w:leader="none"/>
          <w:tab w:val="clear" w:pos="7143" w:leader="none"/>
          <w:tab w:val="clear" w:pos="14287" w:leader="none"/>
        </w:tabs>
      </w:pPr>
      <w:r>
        <w:t xml:space="preserve">не раскрывать третьим лицам и не распространять ПД без согласия субъекта ПД, если иное не предусмотрено федеральным законом;</w:t>
      </w:r>
      <w:r/>
    </w:p>
    <w:p>
      <w:pPr>
        <w:pStyle w:val="686"/>
        <w:numPr>
          <w:ilvl w:val="2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left" w:pos="1276" w:leader="none"/>
          <w:tab w:val="clear" w:pos="7143" w:leader="none"/>
          <w:tab w:val="clear" w:pos="14287" w:leader="none"/>
        </w:tabs>
      </w:pPr>
      <w:r>
        <w:t xml:space="preserve">в случае отзыва субъектом ПД согласия на обработку его ПД прекратить их обработку или обеспечить прекращение такой обработки и в случае, если сохранение ПД более не требуется для целей обработки ПД, уничтожить ПД или обеспечить их уничтожение в срок, н</w:t>
      </w:r>
      <w:r>
        <w:t xml:space="preserve">е превышающий тридцати дней с даты поступления указанного отзыва, если иное не предусмотрено договором, стороной которого, выгодоприобретателем или поручителем по которому является субъект ПД, иным соглашением между Организацией и субъектом ПД или законом;</w:t>
      </w:r>
      <w:r/>
    </w:p>
    <w:p>
      <w:pPr>
        <w:pStyle w:val="686"/>
        <w:numPr>
          <w:ilvl w:val="2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left" w:pos="1276" w:leader="none"/>
          <w:tab w:val="clear" w:pos="7143" w:leader="none"/>
          <w:tab w:val="clear" w:pos="14287" w:leader="none"/>
        </w:tabs>
      </w:pPr>
      <w:r>
        <w:t xml:space="preserve">исполнять иные обязанности, предусмотренные законом.</w:t>
      </w:r>
      <w:r/>
    </w:p>
    <w:p>
      <w:pPr>
        <w:pStyle w:val="686"/>
        <w:numPr>
          <w:ilvl w:val="0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  <w:rPr>
          <w:b/>
        </w:rPr>
      </w:pPr>
      <w:r>
        <w:rPr>
          <w:b/>
        </w:rPr>
        <w:t xml:space="preserve">Цели обработки Организацией ПД пользователей мобильных приложений и посетителей Интернет-сайтов</w:t>
      </w:r>
      <w:r>
        <w:rPr>
          <w:b/>
        </w:rPr>
      </w:r>
      <w:r>
        <w:rPr>
          <w:b/>
        </w:rPr>
      </w:r>
    </w:p>
    <w:p>
      <w:pPr>
        <w:pStyle w:val="686"/>
        <w:numPr>
          <w:ilvl w:val="1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</w:pPr>
      <w:r>
        <w:t xml:space="preserve">Обработка ПД должна ограничиваться достижением конкретных, заранее определенных и законных целей. Не допускается обработка ПД, несовместимая с целями их обработки. Организация вправе обрабатывать ПД</w:t>
      </w:r>
      <w:r>
        <w:rPr>
          <w:b/>
        </w:rPr>
        <w:t xml:space="preserve"> </w:t>
      </w:r>
      <w:r>
        <w:t xml:space="preserve">пользователей посетителей сайтов, в частности, в следующих целях:</w:t>
      </w:r>
      <w:r/>
    </w:p>
    <w:p>
      <w:pPr>
        <w:pStyle w:val="686"/>
        <w:numPr>
          <w:ilvl w:val="2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left" w:pos="1276" w:leader="none"/>
          <w:tab w:val="clear" w:pos="7143" w:leader="none"/>
          <w:tab w:val="clear" w:pos="14287" w:leader="none"/>
        </w:tabs>
      </w:pPr>
      <w:r>
        <w:t xml:space="preserve">реклама, продвижение товаров, работ, услуг, Интернет-сайтов, программ для ЭВМ и мобильных приложений Организации на рынке, в том числе с использованием сети Интернет, мобильных приложений, с привлечением третьих лиц в качестве рекламораспространителей;</w:t>
      </w:r>
      <w:r/>
    </w:p>
    <w:p>
      <w:pPr>
        <w:pStyle w:val="686"/>
        <w:numPr>
          <w:ilvl w:val="2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left" w:pos="1276" w:leader="none"/>
          <w:tab w:val="clear" w:pos="7143" w:leader="none"/>
          <w:tab w:val="clear" w:pos="14287" w:leader="none"/>
        </w:tabs>
      </w:pPr>
      <w:r>
        <w:t xml:space="preserve">заключение, изменение, исполнение, расторжение гражданско-правовых договоров с контрагентами Организации, в том числе с использованием сайта в сети Интернет;</w:t>
      </w:r>
      <w:r/>
    </w:p>
    <w:p>
      <w:pPr>
        <w:pStyle w:val="686"/>
        <w:numPr>
          <w:ilvl w:val="2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left" w:pos="1276" w:leader="none"/>
          <w:tab w:val="clear" w:pos="7143" w:leader="none"/>
          <w:tab w:val="clear" w:pos="14287" w:leader="none"/>
        </w:tabs>
      </w:pPr>
      <w:r>
        <w:t xml:space="preserve">ведение коммерческой деятельности, достижение уставных целей деятельности Организации;</w:t>
      </w:r>
      <w:r/>
    </w:p>
    <w:p>
      <w:pPr>
        <w:pStyle w:val="686"/>
        <w:numPr>
          <w:ilvl w:val="2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left" w:pos="1276" w:leader="none"/>
          <w:tab w:val="clear" w:pos="7143" w:leader="none"/>
          <w:tab w:val="clear" w:pos="14287" w:leader="none"/>
        </w:tabs>
      </w:pPr>
      <w:r>
        <w:t xml:space="preserve">идентификация пользователя Интернет-сайта, предоставление доступа к учетной записи (аккаунту);</w:t>
      </w:r>
      <w:r/>
    </w:p>
    <w:p>
      <w:pPr>
        <w:pStyle w:val="686"/>
        <w:numPr>
          <w:ilvl w:val="2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left" w:pos="1276" w:leader="none"/>
          <w:tab w:val="clear" w:pos="7143" w:leader="none"/>
          <w:tab w:val="clear" w:pos="14287" w:leader="none"/>
        </w:tabs>
      </w:pPr>
      <w:r>
        <w:t xml:space="preserve">улучшение качества работы Интернет-сайтов, программ для ЭВМ, мобильных приложений Организации, связь с пользователями, предоставление им консультаций и технической поддержки.</w:t>
      </w:r>
      <w:r/>
    </w:p>
    <w:p>
      <w:pPr>
        <w:pStyle w:val="686"/>
        <w:numPr>
          <w:ilvl w:val="0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  <w:rPr>
          <w:b/>
        </w:rPr>
      </w:pPr>
      <w:r>
        <w:rPr>
          <w:b/>
        </w:rPr>
        <w:t xml:space="preserve">Правовые основания обработки ПД</w:t>
      </w:r>
      <w:r>
        <w:rPr>
          <w:b/>
        </w:rPr>
      </w:r>
      <w:r>
        <w:rPr>
          <w:b/>
        </w:rPr>
      </w:r>
    </w:p>
    <w:p>
      <w:pPr>
        <w:pStyle w:val="686"/>
        <w:numPr>
          <w:ilvl w:val="1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</w:pPr>
      <w:r>
        <w:t xml:space="preserve">Правовыми основаниями обработки ПД являются правовые акты, во исполнение которых и в соответствии с которыми Организация осуществляет обработку ПД, </w:t>
      </w:r>
      <w:r>
        <w:t xml:space="preserve">в том числе: Федеральный закон от 08.02.1998 г. № 14-ФЗ "Об обществах с ограниченной ответственностью"; Устав Организации; договоры, стороной которых является Организация; согласие субъекта ПД на обработку его ПД; иные применимые нормативные правовые акты.</w:t>
      </w:r>
      <w:r/>
    </w:p>
    <w:p>
      <w:pPr>
        <w:pStyle w:val="686"/>
        <w:numPr>
          <w:ilvl w:val="0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  <w:rPr>
          <w:b/>
        </w:rPr>
      </w:pPr>
      <w:r>
        <w:rPr>
          <w:b/>
        </w:rPr>
        <w:t xml:space="preserve">Объем и категории обрабатываемых ПД</w:t>
      </w:r>
      <w:r>
        <w:rPr>
          <w:b/>
        </w:rPr>
      </w:r>
      <w:r>
        <w:rPr>
          <w:b/>
        </w:rPr>
      </w:r>
    </w:p>
    <w:p>
      <w:pPr>
        <w:pStyle w:val="686"/>
        <w:numPr>
          <w:ilvl w:val="1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</w:pPr>
      <w:r>
        <w:t xml:space="preserve">Содержание и объем обрабатываемых ПД должны соответствовать заявленным целям обработки. Обрабатываемые ПД не должны быть избыточными по отношению к заявленным целям их обработки.</w:t>
      </w:r>
      <w:r/>
    </w:p>
    <w:p>
      <w:pPr>
        <w:pStyle w:val="686"/>
        <w:numPr>
          <w:ilvl w:val="1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</w:pPr>
      <w:r>
        <w:t xml:space="preserve">Организация вправе обрабатывать следующие ПД посетителей Интернет-сайтов и пользователей мобильных приложений, включая клиентов и контрагентов Организации: фамилия, имя, отчеств</w:t>
      </w:r>
      <w:r>
        <w:t xml:space="preserve">о (при наличии), псевдоним/никнейм (при наличии); данные для доступа к сайту (пароль, логин); место работы и должность; номера контактных телефонов; адрес электронной почты; иные сведения, которые субъект ПД пожелал сообщить о себе. </w:t>
      </w:r>
      <w:r/>
    </w:p>
    <w:p>
      <w:pPr>
        <w:pStyle w:val="686"/>
        <w:numPr>
          <w:ilvl w:val="1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</w:pPr>
      <w:r>
        <w:t xml:space="preserve">Организация не обрабатывает биометрические ПД или ПД специальных категорий в отношении посетителей Интернет-сайтов, включая клиентов и контрагентов Организации.</w:t>
      </w:r>
      <w:r/>
    </w:p>
    <w:p>
      <w:pPr>
        <w:pStyle w:val="686"/>
        <w:ind w:left="360" w:firstLine="0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</w:pPr>
      <w:r/>
      <w:r/>
    </w:p>
    <w:p>
      <w:pPr>
        <w:pStyle w:val="686"/>
        <w:ind w:left="360" w:firstLine="0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</w:pPr>
      <w:r>
        <w:rPr>
          <w:highlight w:val="none"/>
        </w:rPr>
      </w:r>
      <w:r>
        <w:rPr>
          <w:highlight w:val="none"/>
        </w:rPr>
      </w:r>
    </w:p>
    <w:p>
      <w:pPr>
        <w:pStyle w:val="686"/>
        <w:numPr>
          <w:ilvl w:val="0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</w:pPr>
      <w:r>
        <w:rPr>
          <w:b/>
        </w:rPr>
        <w:t xml:space="preserve">Порядок и условия обработки ПД</w:t>
      </w:r>
      <w:r>
        <w:t xml:space="preserve"> </w:t>
      </w:r>
      <w:r/>
    </w:p>
    <w:p>
      <w:pPr>
        <w:pStyle w:val="686"/>
        <w:numPr>
          <w:ilvl w:val="1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</w:pPr>
      <w:r>
        <w:t xml:space="preserve">В Организации используются следующие способы обработки ПД: автоматизированная (с использованием средств вычислительной техники), неавтоматизированная (без использования таких средств).</w:t>
      </w:r>
      <w:r/>
    </w:p>
    <w:p>
      <w:pPr>
        <w:pStyle w:val="686"/>
        <w:numPr>
          <w:ilvl w:val="1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</w:pPr>
      <w:r>
        <w:t xml:space="preserve">В Организацией могут осущес</w:t>
      </w:r>
      <w:r>
        <w:t xml:space="preserve">твляться следующие виды действий с ПД: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  <w:r/>
    </w:p>
    <w:p>
      <w:pPr>
        <w:pStyle w:val="686"/>
        <w:numPr>
          <w:ilvl w:val="1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</w:pPr>
      <w:r>
        <w:t xml:space="preserve">Сроки обработки ПД в Организации определяются в соответствии со сроками, на которые субъектами ПД предоставляются согласия на обработку ПД, сроками достижения целей обработки ПД, а также сроками, установленными действующим законодательством.</w:t>
      </w:r>
      <w:r/>
    </w:p>
    <w:p>
      <w:pPr>
        <w:pStyle w:val="686"/>
        <w:numPr>
          <w:ilvl w:val="1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</w:pPr>
      <w:r>
        <w:t xml:space="preserve">Условием прекращения обработки ПД может являться достижение целей обработки ПД, истечение срока действия согласия или отзыв согласия субъекта ПД на обработку его ПД, а также выявление неправомерной обработки ПД.</w:t>
      </w:r>
      <w:r/>
    </w:p>
    <w:p>
      <w:pPr>
        <w:pStyle w:val="686"/>
        <w:numPr>
          <w:ilvl w:val="1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</w:pPr>
      <w:r>
        <w:t xml:space="preserve">Обработка ПД в Организации осуществляется с соблюдением принципов и правил, предусмотренных Законом о ПД, иным применимым законодательством и настоящим Положением, в том числе в соответствии с принципами:</w:t>
      </w:r>
      <w:r/>
    </w:p>
    <w:p>
      <w:pPr>
        <w:pStyle w:val="686"/>
        <w:numPr>
          <w:ilvl w:val="2"/>
          <w:numId w:val="1"/>
        </w:numPr>
        <w:ind w:left="0" w:firstLine="709"/>
        <w:jc w:val="both"/>
        <w:spacing w:after="120"/>
        <w:tabs>
          <w:tab w:val="right" w:pos="709" w:leader="none"/>
          <w:tab w:val="left" w:pos="1134" w:leader="none"/>
          <w:tab w:val="left" w:pos="1276" w:leader="none"/>
          <w:tab w:val="clear" w:pos="7143" w:leader="none"/>
          <w:tab w:val="clear" w:pos="14287" w:leader="none"/>
        </w:tabs>
      </w:pPr>
      <w:r>
        <w:t xml:space="preserve">строгой конфиденциальности ПД;</w:t>
      </w:r>
      <w:r/>
    </w:p>
    <w:p>
      <w:pPr>
        <w:pStyle w:val="686"/>
        <w:numPr>
          <w:ilvl w:val="2"/>
          <w:numId w:val="1"/>
        </w:numPr>
        <w:ind w:left="0" w:firstLine="709"/>
        <w:jc w:val="both"/>
        <w:spacing w:after="120"/>
        <w:tabs>
          <w:tab w:val="right" w:pos="709" w:leader="none"/>
          <w:tab w:val="left" w:pos="1134" w:leader="none"/>
          <w:tab w:val="left" w:pos="1276" w:leader="none"/>
          <w:tab w:val="clear" w:pos="7143" w:leader="none"/>
          <w:tab w:val="clear" w:pos="14287" w:leader="none"/>
        </w:tabs>
      </w:pPr>
      <w:r>
        <w:t xml:space="preserve">законности целей и способов обработки ПД, добросовестности и справедливости в деятельности Организации;</w:t>
      </w:r>
      <w:r/>
    </w:p>
    <w:p>
      <w:pPr>
        <w:pStyle w:val="686"/>
        <w:numPr>
          <w:ilvl w:val="2"/>
          <w:numId w:val="1"/>
        </w:numPr>
        <w:ind w:left="0" w:firstLine="709"/>
        <w:jc w:val="both"/>
        <w:spacing w:after="120"/>
        <w:tabs>
          <w:tab w:val="right" w:pos="709" w:leader="none"/>
          <w:tab w:val="left" w:pos="1134" w:leader="none"/>
          <w:tab w:val="left" w:pos="1276" w:leader="none"/>
          <w:tab w:val="clear" w:pos="7143" w:leader="none"/>
          <w:tab w:val="clear" w:pos="14287" w:leader="none"/>
        </w:tabs>
      </w:pPr>
      <w:r>
        <w:t xml:space="preserve">достоверности ПД, их достаточности для целей обработки, недопустимости обработки ПД, избыточных по отношению к целям их обработки;</w:t>
      </w:r>
      <w:r/>
    </w:p>
    <w:p>
      <w:pPr>
        <w:pStyle w:val="686"/>
        <w:numPr>
          <w:ilvl w:val="2"/>
          <w:numId w:val="1"/>
        </w:numPr>
        <w:ind w:left="0" w:firstLine="709"/>
        <w:jc w:val="both"/>
        <w:spacing w:after="120"/>
        <w:tabs>
          <w:tab w:val="right" w:pos="709" w:leader="none"/>
          <w:tab w:val="left" w:pos="1134" w:leader="none"/>
          <w:tab w:val="left" w:pos="1276" w:leader="none"/>
          <w:tab w:val="clear" w:pos="7143" w:leader="none"/>
          <w:tab w:val="clear" w:pos="14287" w:leader="none"/>
        </w:tabs>
      </w:pPr>
      <w:r>
        <w:t xml:space="preserve">недопустимости объединения баз данных, содержащих ПД, обработка которых осуществляется в целях, не совместимых между собой;</w:t>
      </w:r>
      <w:r/>
    </w:p>
    <w:p>
      <w:pPr>
        <w:pStyle w:val="686"/>
        <w:numPr>
          <w:ilvl w:val="2"/>
          <w:numId w:val="1"/>
        </w:numPr>
        <w:ind w:left="0" w:firstLine="709"/>
        <w:jc w:val="both"/>
        <w:spacing w:after="120"/>
        <w:tabs>
          <w:tab w:val="right" w:pos="709" w:leader="none"/>
          <w:tab w:val="left" w:pos="1134" w:leader="none"/>
          <w:tab w:val="left" w:pos="1276" w:leader="none"/>
          <w:tab w:val="clear" w:pos="7143" w:leader="none"/>
          <w:tab w:val="clear" w:pos="14287" w:leader="none"/>
        </w:tabs>
      </w:pPr>
      <w:r>
        <w:t xml:space="preserve">хранения ПД в форме, позволяющей определить субъекта ПД, не дольше, чем этого требуют цели обработки ПД.</w:t>
      </w:r>
      <w:r/>
    </w:p>
    <w:p>
      <w:pPr>
        <w:pStyle w:val="686"/>
        <w:numPr>
          <w:ilvl w:val="1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</w:pPr>
      <w:r>
        <w:t xml:space="preserve">Организация вправе передавать ПД органам дознания и следствия, иным уполномоченным органам по основаниям, предусмотренным действующим законодательством Российской Федерации. </w:t>
      </w:r>
      <w:r/>
    </w:p>
    <w:p>
      <w:pPr>
        <w:pStyle w:val="686"/>
        <w:numPr>
          <w:ilvl w:val="1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</w:pPr>
      <w:r>
        <w:t xml:space="preserve">Организация обеспечивает конфиденциальность предоставляемых персональных данных и принимает меры, предусмотренные Законом о ПД.</w:t>
      </w:r>
      <w:r/>
    </w:p>
    <w:p>
      <w:pPr>
        <w:pStyle w:val="686"/>
        <w:numPr>
          <w:ilvl w:val="1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  <w:rPr>
          <w:highlight w:val="none"/>
          <w:u w:val="none"/>
        </w:rPr>
      </w:pPr>
      <w:r>
        <w:rPr>
          <w:highlight w:val="none"/>
          <w:u w:val="none"/>
        </w:rPr>
        <w:t xml:space="preserve">Организация вправе на своих сайтах в сети Интернет и в разрабатываемых мобил</w:t>
      </w:r>
      <w:r>
        <w:rPr>
          <w:highlight w:val="none"/>
          <w:u w:val="none"/>
        </w:rPr>
        <w:t xml:space="preserve">ьных приложениях использовать файлы «cookies» (небольшие текстовые файлы, размещаемые в памяти устройств пользователей во время использования Интернет-сайтов, мобильных приложений, предназначенные для содействия в настройке пользовательского интерфейса в с</w:t>
      </w:r>
      <w:r>
        <w:rPr>
          <w:highlight w:val="none"/>
          <w:u w:val="none"/>
        </w:rPr>
        <w:t xml:space="preserve">оответствии с предпочтениями пользователей, аутентификации пользователей). Пользователь вправе самостоятельно с использованием функционала используемого им программного обеспечения отказаться от получения файлов «cookies» и удалить их со своего устройства.</w:t>
      </w:r>
      <w:r>
        <w:rPr>
          <w:rFonts w:hint="default"/>
          <w:highlight w:val="none"/>
          <w:u w:val="none"/>
          <w:lang w:val="en-US"/>
        </w:rPr>
        <w:t xml:space="preserve"> </w:t>
      </w:r>
      <w:r>
        <w:rPr>
          <w:rFonts w:hint="default"/>
          <w:highlight w:val="none"/>
          <w:u w:val="none"/>
          <w:lang w:val="en-US"/>
        </w:rPr>
        <w:t xml:space="preserve">Также на сайте происходит сбор и обработка обезличенных данных о посетителях (в т. ч. файлов «cookie») с помощью сервисов интернет-статистики (Яндекс Метрика и Гугл Аналитика и других).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pStyle w:val="686"/>
        <w:numPr>
          <w:ilvl w:val="1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</w:pPr>
      <w:r>
        <w:t xml:space="preserve">Организация не несет ответственности за безопасность или конфиденциальность любой и</w:t>
      </w:r>
      <w:r>
        <w:t xml:space="preserve">нформации, включая ПД пользователей, собираемой сторонними (не принадлежащими Организации) Интернет-сайтами, службами или мобильными приложениями, даже если ссылки на них содержатся на Интернет-сайтах или в мобильных приложениях, принадлежащих Организации.</w:t>
      </w:r>
      <w:r/>
    </w:p>
    <w:p>
      <w:pPr>
        <w:pStyle w:val="686"/>
        <w:numPr>
          <w:ilvl w:val="1"/>
          <w:numId w:val="1"/>
        </w:numPr>
        <w:ind w:left="0" w:firstLine="709"/>
        <w:jc w:val="both"/>
        <w:spacing w:after="120"/>
        <w:tabs>
          <w:tab w:val="right" w:pos="709" w:leader="none"/>
          <w:tab w:val="left" w:pos="1134" w:leader="none"/>
          <w:tab w:val="left" w:pos="1276" w:leader="none"/>
          <w:tab w:val="clear" w:pos="7143" w:leader="none"/>
          <w:tab w:val="clear" w:pos="14287" w:leader="none"/>
        </w:tabs>
      </w:pPr>
      <w:r>
        <w:t xml:space="preserve">Посетителям </w:t>
      </w:r>
      <w:r>
        <w:t xml:space="preserve">сайтов, включая клиентов и контрагентов Организации, запрещается указывать ПД третьих лиц на сайтах (в мобильных приложениях) без надлежащим образом выраженного согласия таких третьих лиц либо иного законного основания.</w:t>
      </w:r>
      <w:r/>
    </w:p>
    <w:p>
      <w:pPr>
        <w:pStyle w:val="686"/>
        <w:numPr>
          <w:ilvl w:val="1"/>
          <w:numId w:val="1"/>
        </w:numPr>
        <w:ind w:left="0" w:firstLine="709"/>
        <w:jc w:val="both"/>
        <w:spacing w:after="120"/>
        <w:tabs>
          <w:tab w:val="right" w:pos="709" w:leader="none"/>
          <w:tab w:val="left" w:pos="1134" w:leader="none"/>
          <w:tab w:val="left" w:pos="1276" w:leader="none"/>
          <w:tab w:val="clear" w:pos="7143" w:leader="none"/>
          <w:tab w:val="clear" w:pos="14287" w:leader="none"/>
        </w:tabs>
      </w:pPr>
      <w:r>
        <w:t xml:space="preserve">Организация осуществляет запись, систематизацию, накопление, хранение, уточнение (обновление, изменение), извлечение ПД граждан Российской Федерации с использованием баз данных, находящихся на территории Российской Федерации.</w:t>
      </w:r>
      <w:r/>
    </w:p>
    <w:p>
      <w:pPr>
        <w:pStyle w:val="686"/>
        <w:numPr>
          <w:ilvl w:val="1"/>
          <w:numId w:val="1"/>
        </w:numPr>
        <w:ind w:left="0" w:firstLine="709"/>
        <w:jc w:val="both"/>
        <w:spacing w:after="120"/>
        <w:tabs>
          <w:tab w:val="right" w:pos="709" w:leader="none"/>
          <w:tab w:val="left" w:pos="1134" w:leader="none"/>
          <w:tab w:val="left" w:pos="1276" w:leader="none"/>
          <w:tab w:val="clear" w:pos="7143" w:leader="none"/>
          <w:tab w:val="clear" w:pos="14287" w:leader="none"/>
        </w:tabs>
      </w:pPr>
      <w:r>
        <w:t xml:space="preserve">Организация принимает необходимые технические и организационные меры информационной безопасности для защиты ПД от несанкцио</w:t>
      </w:r>
      <w:r>
        <w:t xml:space="preserve">нированного доступа, изменения, раскрытия или уничтожения, в том числе путем осуществления мер по обеспечению физической безопасности данных для предотвращения несанкционированного доступа к ПД, в числе которых: назначение ответственного за организацию обр</w:t>
      </w:r>
      <w:r>
        <w:t xml:space="preserve">аботки ПД; ограничение доступа к информационным системам, обрабатывающим ПД; предотвращение внедрения в информационные системы, обрабатывающие ПД, вредоносных программ (антивирусная защита); обеспечение раздельного хранения ПД, обработка которых осуществля</w:t>
      </w:r>
      <w:r>
        <w:t xml:space="preserve">ется в различных целях; защита носителей информации, на которых хранятся и (или) обрабатываются ПД, ограничение доступа к ним (в т.ч. с использованием паролей); организация режима обеспечения безопасности помещений, в которых хранятся (обрабатываются) ПД, </w:t>
      </w:r>
      <w:r>
        <w:t xml:space="preserve">препятствующего возможности неконтролируемого проникновения или пребывания в этих помещениях лиц, не имеющих права доступа в эти помещения; ограничение доступа к ПД, хранящимся на бумажных носителях (в т.ч. хранение в запираемых шкафах, сейфах); иные меры.</w:t>
      </w:r>
      <w:r/>
    </w:p>
    <w:p>
      <w:pPr>
        <w:pStyle w:val="686"/>
        <w:numPr>
          <w:ilvl w:val="0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  <w:rPr>
          <w:b/>
        </w:rPr>
      </w:pPr>
      <w:r>
        <w:rPr>
          <w:b/>
        </w:rPr>
        <w:t xml:space="preserve">Актуализация, исправление, удаление и уничтожение ПД, ответы на запросы субъектов на доступ к ПД</w:t>
      </w:r>
      <w:r>
        <w:rPr>
          <w:b/>
        </w:rPr>
      </w:r>
      <w:r>
        <w:rPr>
          <w:b/>
        </w:rPr>
      </w:r>
    </w:p>
    <w:p>
      <w:pPr>
        <w:ind w:left="0" w:right="0" w:firstLine="0"/>
        <w:jc w:val="both"/>
        <w:tabs>
          <w:tab w:val="left" w:pos="0" w:leader="none"/>
          <w:tab w:val="left" w:pos="709" w:leader="none"/>
          <w:tab w:val="left" w:pos="9355" w:leader="none"/>
        </w:tabs>
        <w:rPr>
          <w:rFonts w:hint="default"/>
          <w:lang w:val="ru-RU"/>
        </w:rPr>
      </w:pPr>
      <w:r>
        <w:tab/>
        <w:t xml:space="preserve">6.1. Субъект ПД имеет право на получение сведений, указанных в ч. 7 ст. 14 Закона о ПД, за исключением случаев, предусмотренных ч. 8 указанной статьи. Данные сведения предоставляются субъекту ПД или его представителю Организацией при обращении либо п</w:t>
      </w:r>
      <w:r>
        <w:t xml:space="preserve">ри получении запроса субъекта ПД или его представителя. Запрос должен содержать номер основного документа, удостоверяющего личность субъекта ПД или его представителя, сведения о дате выдачи указанного документа и выдавшем его органе, сведения, подтверждающ</w:t>
      </w:r>
      <w:r>
        <w:t xml:space="preserve">ие участие субъекта ПД в отношениях с Организацией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ПД Организацией, подпись субъекта ПД или его пред</w:t>
      </w:r>
      <w:r>
        <w:t xml:space="preserve">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 Запрос (обращение) субъекта ПД по поводу неточности его ПД, возможной неправомерности их обработк</w:t>
      </w:r>
      <w:r>
        <w:t xml:space="preserve">и, отзыва согласия на обработку и доступа субъекта ПД к своим данным должен быть подписан субъектом ПД или его надлежащим образом уполномоченным представителем и направлен способом, позволяющим подтвердить его отправку и получение, по адресу Организации: ___________________</w:t>
      </w:r>
      <w:r>
        <w:t xml:space="preserve">, и (или) адресу электронной почты Организации </w:t>
      </w:r>
      <w:r>
        <w:rPr>
          <w:rFonts w:hint="default"/>
        </w:rPr>
        <w:t xml:space="preserve">___________________</w:t>
      </w:r>
      <w:r>
        <w:rPr>
          <w:rFonts w:hint="default"/>
          <w:lang w:val="ru-RU"/>
        </w:rPr>
        <w:t xml:space="preserve">. </w:t>
      </w:r>
      <w:r/>
    </w:p>
    <w:p>
      <w:pPr>
        <w:ind w:left="0" w:right="0" w:firstLine="0"/>
        <w:jc w:val="both"/>
        <w:tabs>
          <w:tab w:val="left" w:pos="0" w:leader="none"/>
          <w:tab w:val="left" w:pos="709" w:leader="none"/>
          <w:tab w:val="left" w:pos="9355" w:leader="none"/>
        </w:tabs>
      </w:pPr>
      <w:r>
        <w:rPr>
          <w:rFonts w:hint="default"/>
          <w:lang w:val="ru-RU"/>
        </w:rPr>
        <w:tab/>
        <w:t xml:space="preserve">6.2. </w:t>
      </w:r>
      <w:r>
        <w:t xml:space="preserve">Организация обязана сообщить в порядке, предусмотренном стат</w:t>
      </w:r>
      <w:r>
        <w:t xml:space="preserve">ьей 14 Закона о ПД, субъекту ПД или его представителю информацию о наличии ПД, относящихся к соответствующему субъекту ПД, а также безвозмездно предоставить возможность ознакомления с этими ПД при обращении субъекта ПД или его представителя либо в течение </w:t>
      </w:r>
      <w:r>
        <w:rPr>
          <w:rFonts w:hint="default"/>
          <w:lang w:val="ru-RU"/>
        </w:rPr>
        <w:t xml:space="preserve">десяти рабочих </w:t>
      </w:r>
      <w:r>
        <w:t xml:space="preserve">дней с даты получения запроса субъекта ПД или его представителя. Ознакомление производится в помещении Организации по адресу: _____________________,</w:t>
      </w:r>
      <w:r>
        <w:t xml:space="preserve"> в рабочее время (с </w:t>
      </w:r>
      <w:r>
        <w:rPr>
          <w:rFonts w:hint="default"/>
          <w:lang w:val="ru-RU"/>
        </w:rPr>
        <w:t xml:space="preserve">10</w:t>
      </w:r>
      <w:r>
        <w:t xml:space="preserve">.00 до 18.00 по московскому времени, за исключением выходных (субботы, воскресенья) и нерабочих праздничных дней в соответствии с законодательством РФ).</w:t>
      </w:r>
      <w:r/>
    </w:p>
    <w:p>
      <w:pPr>
        <w:ind w:left="0" w:right="0" w:firstLine="0"/>
        <w:jc w:val="both"/>
        <w:tabs>
          <w:tab w:val="left" w:pos="0" w:leader="none"/>
          <w:tab w:val="left" w:pos="709" w:leader="none"/>
          <w:tab w:val="left" w:pos="9355" w:leader="none"/>
        </w:tabs>
      </w:pPr>
      <w:r>
        <w:tab/>
        <w:t xml:space="preserve">6.3. </w:t>
      </w:r>
      <w:r>
        <w:t xml:space="preserve">В случае подтверждения факта неточности ПД Организация на основании сведени</w:t>
      </w:r>
      <w:r>
        <w:t xml:space="preserve">й, представленных субъектом ПД или его представителем либо уполномоченным органом по защите прав субъектов ПД, или иных необходимых документов обязана уточнить ПД либо обеспечить их уточнение в течение семи рабочих дней со дня представления таких сведений.</w:t>
      </w:r>
      <w:r/>
      <w:r/>
    </w:p>
    <w:p>
      <w:pPr>
        <w:pStyle w:val="686"/>
        <w:numPr>
          <w:ilvl w:val="0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  <w:rPr>
          <w:b/>
        </w:rPr>
      </w:pPr>
      <w:r>
        <w:rPr>
          <w:b/>
        </w:rPr>
        <w:t xml:space="preserve"> Заключительные положения</w:t>
      </w:r>
      <w:r>
        <w:rPr>
          <w:b/>
        </w:rPr>
      </w:r>
      <w:r>
        <w:rPr>
          <w:b/>
        </w:rPr>
      </w:r>
    </w:p>
    <w:p>
      <w:pPr>
        <w:pStyle w:val="686"/>
        <w:numPr>
          <w:ilvl w:val="1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</w:pPr>
      <w:r>
        <w:t xml:space="preserve">Использование отдельных Интернет-сайтов и (или) мобильных приложений Организации может регулироваться дополнительными условиями, которые могут вносить в настоящую Поли</w:t>
      </w:r>
      <w:r>
        <w:t xml:space="preserve">тику изменения и (или) дополнения и (или) иметь специальные условия в отношении ПД. Такие дополнительные (измененные) условия (при их наличии) должны быть в обязательном порядке размещены на соответствующих Интернет-сайтах (в соответствующих приложениях). </w:t>
      </w:r>
      <w:r/>
    </w:p>
    <w:p>
      <w:pPr>
        <w:pStyle w:val="686"/>
        <w:numPr>
          <w:ilvl w:val="1"/>
          <w:numId w:val="1"/>
        </w:numPr>
        <w:ind w:left="0" w:firstLine="709"/>
        <w:jc w:val="both"/>
        <w:spacing w:after="120"/>
        <w:tabs>
          <w:tab w:val="right" w:pos="709" w:leader="none"/>
          <w:tab w:val="right" w:pos="709" w:leader="none"/>
          <w:tab w:val="left" w:pos="1134" w:leader="none"/>
          <w:tab w:val="clear" w:pos="7143" w:leader="none"/>
          <w:tab w:val="left" w:pos="9355" w:leader="none"/>
          <w:tab w:val="clear" w:pos="14287" w:leader="none"/>
        </w:tabs>
      </w:pPr>
      <w:r>
        <w:t xml:space="preserve">Организация вправе собирать и </w:t>
      </w:r>
      <w:r>
        <w:t xml:space="preserve">обрабатывать технические данные об устройствах посетителей Интернет-сайтов и пользователей мобильных приложений в объеме и форме, не позволяющих прямо или косвенно идентифицировать посетителей Интернет-сайтов и пользователей мобильных приложений, для целей</w:t>
      </w:r>
      <w:r>
        <w:t xml:space="preserve"> работы и улучшения качества мобильных приложений и Интернет-сайтов, исправления технических проблем. Указанные данные собираются и обрабатываются Организацией в обезличенном виде, не распространяются, не публикуются и не передаются никаким третьим лицам. </w:t>
      </w:r>
      <w:r/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Arial">
    <w:panose1 w:val="020B0604020202020204"/>
  </w:font>
  <w:font w:name="Wingdings">
    <w:panose1 w:val="05010000000000000000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"/>
      <w:lvlJc w:val="left"/>
      <w:pPr>
        <w:ind w:left="420" w:hanging="420"/>
        <w:tabs>
          <w:tab w:val="left" w:pos="4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left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left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61">
    <w:name w:val="Heading 1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2"/>
    <w:basedOn w:val="660"/>
    <w:next w:val="836"/>
    <w:link w:val="663"/>
    <w:uiPriority w:val="9"/>
    <w:unhideWhenUsed/>
    <w:qFormat/>
    <w:rPr>
      <w:rFonts w:ascii="Liberation Sans" w:hAnsi="Liberation Sans" w:eastAsia="Liberation Sans" w:cs="Liberation Sans"/>
    </w:rPr>
  </w:style>
  <w:style w:type="character" w:styleId="663">
    <w:name w:val="Heading 2 Char"/>
    <w:link w:val="662"/>
    <w:uiPriority w:val="9"/>
    <w:rPr>
      <w:rFonts w:ascii="Liberation Sans" w:hAnsi="Liberation Sans" w:eastAsia="Liberation Sans" w:cs="Liberation Sans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65">
    <w:name w:val="Heading 3 Char"/>
    <w:link w:val="664"/>
    <w:uiPriority w:val="9"/>
    <w:rPr>
      <w:rFonts w:ascii="Liberation Sans" w:hAnsi="Liberation Sans" w:cs="Liberation Sans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Liberation Sans" w:hAnsi="Liberation Sans" w:eastAsia="Liberation Sans" w:cs="Liberation Sans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Liberation Sans" w:hAnsi="Liberation Sans" w:eastAsia="Liberation Sans" w:cs="Liberation Sans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Liberation Sans" w:hAnsi="Liberation Sans" w:eastAsia="Liberation Sans" w:cs="Liberation Sans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Med Supp</cp:lastModifiedBy>
  <cp:revision>3</cp:revision>
  <dcterms:modified xsi:type="dcterms:W3CDTF">2024-04-04T15:44:29Z</dcterms:modified>
</cp:coreProperties>
</file>